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40"/>
          <w:szCs w:val="40"/>
        </w:rPr>
        <w:t xml:space="preserve">KRITI ARORA</w:t>
      </w:r>
    </w:p>
    <w:p>
      <w:pPr>
        <w:spacing w:after="20"/>
        <w:jc w:val="center"/>
      </w:pPr>
      <w:r>
        <w:rPr>
          <w:i/>
          <w:iCs/>
          <w:color w:val="444444"/>
          <w:sz w:val="20"/>
          <w:szCs w:val="20"/>
        </w:rPr>
        <w:t xml:space="preserve">AI-Powered Front-End Technical Architect | Technical Lead | Consultant | Techno-Managerial Professional</w:t>
      </w:r>
    </w:p>
    <w:p>
      <w:pPr>
        <w:spacing w:after="220"/>
        <w:jc w:val="center"/>
      </w:pPr>
      <w:r>
        <w:rPr>
          <w:sz w:val="19"/>
          <w:szCs w:val="19"/>
        </w:rPr>
        <w:t xml:space="preserve">kritiar10@gmail.com  |  +91-9163470103  |  </w:t>
      </w:r>
      <w:hyperlink w:history="1" r:id="rId1uhnokruhz2lyndqry84b">
        <w:r>
          <w:rPr>
            <w:color w:val="0563C1"/>
            <w:sz w:val="19"/>
            <w:szCs w:val="19"/>
            <w:u w:val="single"/>
          </w:rPr>
          <w:t xml:space="preserve">LinkedIn</w:t>
        </w:r>
      </w:hyperlink>
      <w:r>
        <w:rPr>
          <w:sz w:val="19"/>
          <w:szCs w:val="19"/>
        </w:rPr>
        <w:t xml:space="preserve">  |  </w:t>
      </w:r>
      <w:hyperlink w:history="1" r:id="rIdo39b6tmnofuyy_r2wvm7z">
        <w:r>
          <w:rPr>
            <w:color w:val="0563C1"/>
            <w:sz w:val="19"/>
            <w:szCs w:val="19"/>
            <w:u w:val="single"/>
          </w:rPr>
          <w:t xml:space="preserve">Portfolio</w:t>
        </w:r>
      </w:hyperlink>
      <w:r>
        <w:rPr>
          <w:sz w:val="19"/>
          <w:szCs w:val="19"/>
        </w:rPr>
        <w:t xml:space="preserve">  |  Kolkata, India</w:t>
      </w:r>
    </w:p>
    <w:p>
      <w:pPr>
        <w:pBdr>
          <w:bottom w:val="single" w:color="2E5395" w:sz="6" w:space="2"/>
        </w:pBdr>
        <w:spacing w:after="75" w:before="170"/>
      </w:pPr>
      <w:r>
        <w:rPr>
          <w:b/>
          <w:bCs/>
          <w:color w:val="2E5395"/>
          <w:sz w:val="23"/>
          <w:szCs w:val="23"/>
        </w:rPr>
        <w:t xml:space="preserve">CAREER SUMMARY</w:t>
      </w:r>
    </w:p>
    <w:p>
      <w:pPr>
        <w:spacing w:after="100"/>
      </w:pPr>
      <w:r>
        <w:rPr>
          <w:sz w:val="21"/>
          <w:szCs w:val="21"/>
        </w:rPr>
        <w:t xml:space="preserve">AI-Powered Front-End Technical Architect with 12+ years of experience architecting scalable, high-performance UI systems and integrating enterprise AI capabilities into those systems. Skilled at translating business requirements into technical architecture using React, JavaScript, and modern web frameworks, while embedding AI-driven features — conversational agents, agentic workflows, and AI-assisted estimation — directly into the front-end platforms teams build on. Certified Scrum Master (PSM I) with a track record of steering cross-functional squads of 10+ engineers and leading proposal and consulting engagements.</w:t>
      </w:r>
    </w:p>
    <w:p>
      <w:pPr>
        <w:spacing w:after="100"/>
      </w:pPr>
      <w:r>
        <w:rPr>
          <w:sz w:val="21"/>
          <w:szCs w:val="21"/>
        </w:rPr>
        <w:t xml:space="preserve">Comfortable operating across the full stack of a techno-managerial role — architecting enterprise integrations (Stibo Systems, Kore.ai, Salesforce Agentforce), consulting with stakeholders and architects on solution design, managing resourcing and delivery timelines, and mentoring engineers. Leverages AI to sharpen estimation accuracy, proposal turnaround, and solution reuse. Equally effective as a hands-on technical architect or as the techno-managerial anchor between engineering teams and business stakeholders. Open to global opportunities across the US, Canada, UK, and Europe.</w:t>
      </w:r>
    </w:p>
    <w:p>
      <w:pPr>
        <w:pBdr>
          <w:bottom w:val="single" w:color="2E5395" w:sz="6" w:space="2"/>
        </w:pBdr>
        <w:spacing w:after="75" w:before="170"/>
      </w:pPr>
      <w:r>
        <w:rPr>
          <w:b/>
          <w:bCs/>
          <w:color w:val="2E5395"/>
          <w:sz w:val="23"/>
          <w:szCs w:val="23"/>
        </w:rPr>
        <w:t xml:space="preserve">CORE COMPETENCIES</w:t>
      </w:r>
    </w:p>
    <w:p>
      <w:pPr>
        <w:spacing w:after="60"/>
      </w:pPr>
      <w:r>
        <w:rPr>
          <w:b/>
          <w:bCs/>
          <w:color w:val="2E5395"/>
          <w:sz w:val="21"/>
          <w:szCs w:val="21"/>
        </w:rPr>
        <w:t xml:space="preserve">Technical Architecture &amp; Front-End Engineering: </w:t>
      </w:r>
      <w:r>
        <w:rPr>
          <w:sz w:val="21"/>
          <w:szCs w:val="21"/>
        </w:rPr>
        <w:t xml:space="preserve">React, TypeScript, Redux.js, JavaScript (ES6), Node.js, Express.js, Angular, MERN/MEAN Stack, Design Systems, Storybook, styled-components, UX/Design Thinking, UI Testing, Full-Stack Development</w:t>
      </w:r>
    </w:p>
    <w:p>
      <w:pPr>
        <w:spacing w:after="60"/>
      </w:pPr>
      <w:r>
        <w:rPr>
          <w:b/>
          <w:bCs/>
          <w:color w:val="2E5395"/>
          <w:sz w:val="21"/>
          <w:szCs w:val="21"/>
        </w:rPr>
        <w:t xml:space="preserve">Enterprise Platforms &amp; AI: </w:t>
      </w:r>
      <w:r>
        <w:rPr>
          <w:sz w:val="21"/>
          <w:szCs w:val="21"/>
        </w:rPr>
        <w:t xml:space="preserve">Kore.ai (Conversational AI), Salesforce (Agentforce), Stibo Systems (PIM), Snowflake, New Relic (NerdPack), GitHub Copilot (Opus), Cloudinary, Generative AI, AI-Assisted Coding &amp; Prompt Engineering</w:t>
      </w:r>
    </w:p>
    <w:p>
      <w:pPr>
        <w:spacing w:after="60"/>
      </w:pPr>
      <w:r>
        <w:rPr>
          <w:b/>
          <w:bCs/>
          <w:color w:val="2E5395"/>
          <w:sz w:val="21"/>
          <w:szCs w:val="21"/>
        </w:rPr>
        <w:t xml:space="preserve">Techno-Managerial &amp; Consulting: </w:t>
      </w:r>
      <w:r>
        <w:rPr>
          <w:sz w:val="21"/>
          <w:szCs w:val="21"/>
        </w:rPr>
        <w:t xml:space="preserve">Certified Scrum Master (PSM I), Agile/Scrum, Project Resourcing, Team Building, Client Consulting, Proposal Strategy &amp; Estimation, Mentorship, Retail Domain Expertise</w:t>
      </w:r>
    </w:p>
    <w:p>
      <w:pPr>
        <w:spacing w:after="60"/>
      </w:pPr>
      <w:r>
        <w:rPr>
          <w:b/>
          <w:bCs/>
          <w:color w:val="2E5395"/>
          <w:sz w:val="21"/>
          <w:szCs w:val="21"/>
        </w:rPr>
        <w:t xml:space="preserve">Tools &amp; Analytics: </w:t>
      </w:r>
      <w:r>
        <w:rPr>
          <w:sz w:val="21"/>
          <w:szCs w:val="21"/>
        </w:rPr>
        <w:t xml:space="preserve">Git, Azure DevOps, MongoDB, Microservices, Spring Boot, Adobe Analytics, Google Analytics</w:t>
      </w:r>
    </w:p>
    <w:p>
      <w:pPr>
        <w:pBdr>
          <w:bottom w:val="single" w:color="2E5395" w:sz="6" w:space="2"/>
        </w:pBdr>
        <w:spacing w:after="75" w:before="170"/>
      </w:pPr>
      <w:r>
        <w:rPr>
          <w:b/>
          <w:bCs/>
          <w:color w:val="2E5395"/>
          <w:sz w:val="23"/>
          <w:szCs w:val="23"/>
        </w:rPr>
        <w:t xml:space="preserve">KEY ACHIEVEMENTS</w:t>
      </w:r>
    </w:p>
    <w:p>
      <w:pPr>
        <w:pStyle w:val="ListParagraph"/>
        <w:numPr>
          <w:ilvl w:val="0"/>
          <w:numId w:val="2"/>
        </w:numPr>
        <w:spacing w:after="45"/>
      </w:pPr>
      <w:r>
        <w:rPr>
          <w:b/>
          <w:bCs/>
          <w:color w:val="2E5395"/>
          <w:sz w:val="21"/>
          <w:szCs w:val="21"/>
        </w:rPr>
        <w:t xml:space="preserve">30% / 40% — </w:t>
      </w:r>
      <w:r>
        <w:rPr>
          <w:sz w:val="21"/>
          <w:szCs w:val="21"/>
        </w:rPr>
        <w:t xml:space="preserve">Reduction in web bundle size and improvement in First Contentful Paint (FCP) after re-architecting core React component libraries</w:t>
      </w:r>
    </w:p>
    <w:p>
      <w:pPr>
        <w:pStyle w:val="ListParagraph"/>
        <w:numPr>
          <w:ilvl w:val="0"/>
          <w:numId w:val="2"/>
        </w:numPr>
        <w:spacing w:after="45"/>
      </w:pPr>
      <w:r>
        <w:rPr>
          <w:b/>
          <w:bCs/>
          <w:color w:val="2E5395"/>
          <w:sz w:val="21"/>
          <w:szCs w:val="21"/>
        </w:rPr>
        <w:t xml:space="preserve">6,000+ — </w:t>
      </w:r>
      <w:r>
        <w:rPr>
          <w:sz w:val="21"/>
          <w:szCs w:val="21"/>
        </w:rPr>
        <w:t xml:space="preserve">Historical issues analyzed manually to establish effort benchmarks and reusable solution accelerators</w:t>
      </w:r>
    </w:p>
    <w:p>
      <w:pPr>
        <w:pStyle w:val="ListParagraph"/>
        <w:numPr>
          <w:ilvl w:val="0"/>
          <w:numId w:val="2"/>
        </w:numPr>
        <w:spacing w:after="45"/>
      </w:pPr>
      <w:r>
        <w:rPr>
          <w:b/>
          <w:bCs/>
          <w:color w:val="2E5395"/>
          <w:sz w:val="21"/>
          <w:szCs w:val="21"/>
        </w:rPr>
        <w:t xml:space="preserve">40% — </w:t>
      </w:r>
      <w:r>
        <w:rPr>
          <w:sz w:val="21"/>
          <w:szCs w:val="21"/>
        </w:rPr>
        <w:t xml:space="preserve">Cut in resolution turnaround time through pattern identification and solution reuse</w:t>
      </w:r>
    </w:p>
    <w:p>
      <w:pPr>
        <w:pStyle w:val="ListParagraph"/>
        <w:numPr>
          <w:ilvl w:val="0"/>
          <w:numId w:val="2"/>
        </w:numPr>
        <w:spacing w:after="45"/>
      </w:pPr>
      <w:r>
        <w:rPr>
          <w:b/>
          <w:bCs/>
          <w:color w:val="2E5395"/>
          <w:sz w:val="21"/>
          <w:szCs w:val="21"/>
        </w:rPr>
        <w:t xml:space="preserve">10+ — </w:t>
      </w:r>
      <w:r>
        <w:rPr>
          <w:sz w:val="21"/>
          <w:szCs w:val="21"/>
        </w:rPr>
        <w:t xml:space="preserve">Engineers led across project proposal, architectural design, and agile delivery phases</w:t>
      </w:r>
    </w:p>
    <w:p>
      <w:pPr>
        <w:pBdr>
          <w:bottom w:val="single" w:color="2E5395" w:sz="6" w:space="2"/>
        </w:pBdr>
        <w:spacing w:after="75" w:before="170"/>
      </w:pPr>
      <w:r>
        <w:rPr>
          <w:b/>
          <w:bCs/>
          <w:color w:val="2E5395"/>
          <w:sz w:val="23"/>
          <w:szCs w:val="23"/>
        </w:rPr>
        <w:t xml:space="preserve">PROFESSIONAL EXPERIENCE</w:t>
      </w:r>
    </w:p>
    <w:p>
      <w:pPr>
        <w:tabs>
          <w:tab w:val="right" w:pos="9350"/>
        </w:tabs>
        <w:spacing w:after="40" w:before="150"/>
      </w:pPr>
      <w:r>
        <w:rPr>
          <w:b/>
          <w:bCs/>
          <w:sz w:val="23"/>
          <w:szCs w:val="23"/>
        </w:rPr>
        <w:t xml:space="preserve">Lead Front-End UI Engineer</w:t>
      </w:r>
      <w:r>
        <w:rPr>
          <w:b/>
          <w:bCs/>
          <w:color w:val="2E5395"/>
          <w:sz w:val="23"/>
          <w:szCs w:val="23"/>
        </w:rPr>
        <w:t xml:space="preserve">  |  Tata Consultancy Services</w:t>
      </w:r>
      <w:r>
        <w:rPr>
          <w:i/>
          <w:iCs/>
          <w:sz w:val="20"/>
          <w:szCs w:val="20"/>
        </w:rPr>
        <w:t xml:space="preserve">	Kolkata, India | Jan 2019 – Present</w:t>
      </w:r>
    </w:p>
    <w:p>
      <w:pPr>
        <w:spacing w:after="25" w:before="70"/>
      </w:pPr>
      <w:r>
        <w:rPr>
          <w:b/>
          <w:bCs/>
          <w:i/>
          <w:iCs/>
          <w:color w:val="444444"/>
          <w:sz w:val="21"/>
          <w:szCs w:val="21"/>
        </w:rPr>
        <w:t xml:space="preserve">Technical Leadership &amp; Techno-Managerial Delivery</w:t>
      </w:r>
    </w:p>
    <w:p>
      <w:pPr>
        <w:pStyle w:val="ListParagraph"/>
        <w:numPr>
          <w:ilvl w:val="0"/>
          <w:numId w:val="2"/>
        </w:numPr>
        <w:spacing w:after="38"/>
      </w:pPr>
      <w:r>
        <w:rPr>
          <w:sz w:val="21"/>
          <w:szCs w:val="21"/>
        </w:rPr>
        <w:t xml:space="preserve">Direct cross-functional teams of 10+ engineers across project proposal, architectural design, and agile delivery phases, coordinating priorities across business stakeholders and architects.</w:t>
      </w:r>
    </w:p>
    <w:p>
      <w:pPr>
        <w:pStyle w:val="ListParagraph"/>
        <w:numPr>
          <w:ilvl w:val="0"/>
          <w:numId w:val="2"/>
        </w:numPr>
        <w:spacing w:after="38"/>
      </w:pPr>
      <w:r>
        <w:rPr>
          <w:sz w:val="21"/>
          <w:szCs w:val="21"/>
        </w:rPr>
        <w:t xml:space="preserve">Serve as the techno-managerial anchor between engineering teams and business stakeholders — balancing technical feasibility, delivery timelines, and client expectations.</w:t>
      </w:r>
    </w:p>
    <w:p>
      <w:pPr>
        <w:pStyle w:val="ListParagraph"/>
        <w:numPr>
          <w:ilvl w:val="0"/>
          <w:numId w:val="2"/>
        </w:numPr>
        <w:spacing w:after="38"/>
      </w:pPr>
      <w:r>
        <w:rPr>
          <w:sz w:val="21"/>
          <w:szCs w:val="21"/>
        </w:rPr>
        <w:t xml:space="preserve">Mentored junior developers and served as certified Scrum Master (PSM I), driving agile best practices, sprint health, and continuous improvement across client releases.</w:t>
      </w:r>
    </w:p>
    <w:p>
      <w:pPr>
        <w:pStyle w:val="ListParagraph"/>
        <w:numPr>
          <w:ilvl w:val="0"/>
          <w:numId w:val="2"/>
        </w:numPr>
        <w:spacing w:after="38"/>
      </w:pPr>
      <w:r>
        <w:rPr>
          <w:sz w:val="21"/>
          <w:szCs w:val="21"/>
        </w:rPr>
        <w:t xml:space="preserve">Directed project resourcing and staffing decisions to align engineering capacity with delivery timelines and proposal commitments.</w:t>
      </w:r>
    </w:p>
    <w:p>
      <w:pPr>
        <w:spacing w:after="25" w:before="70"/>
      </w:pPr>
      <w:r>
        <w:rPr>
          <w:b/>
          <w:bCs/>
          <w:i/>
          <w:iCs/>
          <w:color w:val="444444"/>
          <w:sz w:val="21"/>
          <w:szCs w:val="21"/>
        </w:rPr>
        <w:t xml:space="preserve">Solution &amp; Front-End Architecture</w:t>
      </w:r>
    </w:p>
    <w:p>
      <w:pPr>
        <w:pStyle w:val="ListParagraph"/>
        <w:numPr>
          <w:ilvl w:val="0"/>
          <w:numId w:val="2"/>
        </w:numPr>
        <w:spacing w:after="38"/>
      </w:pPr>
      <w:r>
        <w:rPr>
          <w:sz w:val="21"/>
          <w:szCs w:val="21"/>
        </w:rPr>
        <w:t xml:space="preserve">Re-architected core React component libraries, reducing web bundle sizes by 30% and improving First Contentful Paint (FCP) by 40%.</w:t>
      </w:r>
    </w:p>
    <w:p>
      <w:pPr>
        <w:pStyle w:val="ListParagraph"/>
        <w:numPr>
          <w:ilvl w:val="0"/>
          <w:numId w:val="2"/>
        </w:numPr>
        <w:spacing w:after="38"/>
      </w:pPr>
      <w:r>
        <w:rPr>
          <w:sz w:val="21"/>
          <w:szCs w:val="21"/>
        </w:rPr>
        <w:t xml:space="preserve">Own architecture and design decisions for component libraries and state management with Redux, reducing unnecessary re-renders by 30% while ensuring accessible, high-performance interfaces.</w:t>
      </w:r>
    </w:p>
    <w:p>
      <w:pPr>
        <w:pStyle w:val="ListParagraph"/>
        <w:numPr>
          <w:ilvl w:val="0"/>
          <w:numId w:val="2"/>
        </w:numPr>
        <w:spacing w:after="38"/>
      </w:pPr>
      <w:r>
        <w:rPr>
          <w:sz w:val="21"/>
          <w:szCs w:val="21"/>
        </w:rPr>
        <w:t xml:space="preserve">Documented and maintained component libraries using Storybook with styled-components, improving component discoverability and reuse across squads.</w:t>
      </w:r>
    </w:p>
    <w:p>
      <w:pPr>
        <w:pStyle w:val="ListParagraph"/>
        <w:numPr>
          <w:ilvl w:val="0"/>
          <w:numId w:val="2"/>
        </w:numPr>
        <w:spacing w:after="38"/>
      </w:pPr>
      <w:r>
        <w:rPr>
          <w:sz w:val="21"/>
          <w:szCs w:val="21"/>
        </w:rPr>
        <w:t xml:space="preserve">Established reusable UI patterns and automated testing practices (Jest, React Testing Library) that improved release reliability and developer efficiency.</w:t>
      </w:r>
    </w:p>
    <w:p>
      <w:pPr>
        <w:pStyle w:val="ListParagraph"/>
        <w:numPr>
          <w:ilvl w:val="0"/>
          <w:numId w:val="2"/>
        </w:numPr>
        <w:spacing w:after="38"/>
      </w:pPr>
      <w:r>
        <w:rPr>
          <w:sz w:val="21"/>
          <w:szCs w:val="21"/>
        </w:rPr>
        <w:t xml:space="preserve">Architected a vendor portal enabling supplier onboarding, catalog management, and communication workflows for retail clients.</w:t>
      </w:r>
    </w:p>
    <w:p>
      <w:pPr>
        <w:pStyle w:val="ListParagraph"/>
        <w:numPr>
          <w:ilvl w:val="0"/>
          <w:numId w:val="2"/>
        </w:numPr>
        <w:spacing w:after="38"/>
      </w:pPr>
      <w:r>
        <w:rPr>
          <w:sz w:val="21"/>
          <w:szCs w:val="21"/>
        </w:rPr>
        <w:t xml:space="preserve">Integrated Cloudinary for scalable image upload, transformation, and delivery across retail web applications.</w:t>
      </w:r>
    </w:p>
    <w:p>
      <w:pPr>
        <w:spacing w:after="25" w:before="70"/>
      </w:pPr>
      <w:r>
        <w:rPr>
          <w:b/>
          <w:bCs/>
          <w:i/>
          <w:iCs/>
          <w:color w:val="444444"/>
          <w:sz w:val="21"/>
          <w:szCs w:val="21"/>
        </w:rPr>
        <w:t xml:space="preserve">Observability &amp; AI-Assisted Engineering</w:t>
      </w:r>
    </w:p>
    <w:p>
      <w:pPr>
        <w:pStyle w:val="ListParagraph"/>
        <w:numPr>
          <w:ilvl w:val="0"/>
          <w:numId w:val="2"/>
        </w:numPr>
        <w:spacing w:after="38"/>
      </w:pPr>
      <w:r>
        <w:rPr>
          <w:sz w:val="21"/>
          <w:szCs w:val="21"/>
        </w:rPr>
        <w:t xml:space="preserve">Built custom NerdPack dashboards on New Relic to enable real-time observability, performance monitoring, and issue triage across retail applications.</w:t>
      </w:r>
    </w:p>
    <w:p>
      <w:pPr>
        <w:pStyle w:val="ListParagraph"/>
        <w:numPr>
          <w:ilvl w:val="0"/>
          <w:numId w:val="2"/>
        </w:numPr>
        <w:spacing w:after="38"/>
      </w:pPr>
      <w:r>
        <w:rPr>
          <w:sz w:val="21"/>
          <w:szCs w:val="21"/>
        </w:rPr>
        <w:t xml:space="preserve">Adopted GitHub Copilot (Opus model) in retail engagements to accelerate front-end development velocity and improve code quality.</w:t>
      </w:r>
    </w:p>
    <w:p>
      <w:pPr>
        <w:pStyle w:val="ListParagraph"/>
        <w:numPr>
          <w:ilvl w:val="0"/>
          <w:numId w:val="2"/>
        </w:numPr>
        <w:spacing w:after="38"/>
      </w:pPr>
      <w:r>
        <w:rPr>
          <w:sz w:val="21"/>
          <w:szCs w:val="21"/>
        </w:rPr>
        <w:t xml:space="preserve">Represented TCS at the Endless Aisle Digital Symposium — the solution presented recovered ~60% of missed sales conversions and generated 11% additional revenue; separately, received TCS's Contextual Master Award for driving omnichannel payment issues (Juspay third-party gateway, generic offer application) to zero defects.</w:t>
      </w:r>
    </w:p>
    <w:p>
      <w:pPr>
        <w:spacing w:after="25" w:before="70"/>
      </w:pPr>
      <w:r>
        <w:rPr>
          <w:b/>
          <w:bCs/>
          <w:i/>
          <w:iCs/>
          <w:color w:val="444444"/>
          <w:sz w:val="21"/>
          <w:szCs w:val="21"/>
        </w:rPr>
        <w:t xml:space="preserve">Consulting, AI &amp; Enterprise Platform Integration</w:t>
      </w:r>
    </w:p>
    <w:p>
      <w:pPr>
        <w:pStyle w:val="ListParagraph"/>
        <w:numPr>
          <w:ilvl w:val="0"/>
          <w:numId w:val="2"/>
        </w:numPr>
        <w:spacing w:after="38"/>
      </w:pPr>
      <w:r>
        <w:rPr>
          <w:sz w:val="21"/>
          <w:szCs w:val="21"/>
        </w:rPr>
        <w:t xml:space="preserve">Consult with business stakeholders and architects on solution design, spearheading manual analysis of 6,000+ historical issues to establish effort benchmarks and reusable solution accelerators that cut resolution times by 40%.</w:t>
      </w:r>
    </w:p>
    <w:p>
      <w:pPr>
        <w:pStyle w:val="ListParagraph"/>
        <w:numPr>
          <w:ilvl w:val="0"/>
          <w:numId w:val="2"/>
        </w:numPr>
        <w:spacing w:after="38"/>
      </w:pPr>
      <w:r>
        <w:rPr>
          <w:sz w:val="21"/>
          <w:szCs w:val="21"/>
        </w:rPr>
        <w:t xml:space="preserve">Architect and integrate enterprise AI solutions including Stibo Systems (PIM), Kore.ai, and Salesforce Agentforce to establish intelligent, agentic workflows.</w:t>
      </w:r>
    </w:p>
    <w:p>
      <w:pPr>
        <w:pStyle w:val="ListParagraph"/>
        <w:numPr>
          <w:ilvl w:val="0"/>
          <w:numId w:val="2"/>
        </w:numPr>
        <w:spacing w:after="38"/>
      </w:pPr>
      <w:r>
        <w:rPr>
          <w:sz w:val="21"/>
          <w:szCs w:val="21"/>
        </w:rPr>
        <w:t xml:space="preserve">Leveraged advanced AI capabilities during discovery and proposal stages to improve estimation accuracy and accelerate proposal turnaround, acting as a technical consultant to pre-sales and client teams.</w:t>
      </w:r>
    </w:p>
    <w:p>
      <w:pPr>
        <w:spacing w:after="25" w:before="70"/>
      </w:pPr>
      <w:r>
        <w:rPr>
          <w:b/>
          <w:bCs/>
          <w:i/>
          <w:iCs/>
          <w:color w:val="444444"/>
          <w:sz w:val="21"/>
          <w:szCs w:val="21"/>
        </w:rPr>
        <w:t xml:space="preserve">Innovation &amp; Prototyping</w:t>
      </w:r>
    </w:p>
    <w:p>
      <w:pPr>
        <w:pStyle w:val="ListParagraph"/>
        <w:numPr>
          <w:ilvl w:val="0"/>
          <w:numId w:val="2"/>
        </w:numPr>
        <w:spacing w:after="38"/>
      </w:pPr>
      <w:r>
        <w:rPr>
          <w:sz w:val="21"/>
          <w:szCs w:val="21"/>
        </w:rPr>
        <w:t xml:space="preserve">Innovista Pre-finalist and frequent participant in enterprise hackathons ("AI Friday"), rapidly prototyping Kore.ai conversational bots, intelligent automation strategies, and AI agents to improve enterprise operations.</w:t>
      </w:r>
    </w:p>
    <w:p>
      <w:pPr>
        <w:tabs>
          <w:tab w:val="right" w:pos="9350"/>
        </w:tabs>
        <w:spacing w:after="40" w:before="150"/>
      </w:pPr>
      <w:r>
        <w:rPr>
          <w:b/>
          <w:bCs/>
          <w:sz w:val="23"/>
          <w:szCs w:val="23"/>
        </w:rPr>
        <w:t xml:space="preserve">Technology Analyst</w:t>
      </w:r>
      <w:r>
        <w:rPr>
          <w:b/>
          <w:bCs/>
          <w:color w:val="2E5395"/>
          <w:sz w:val="23"/>
          <w:szCs w:val="23"/>
        </w:rPr>
        <w:t xml:space="preserve">  |  Infosys</w:t>
      </w:r>
      <w:r>
        <w:rPr>
          <w:i/>
          <w:iCs/>
          <w:sz w:val="20"/>
          <w:szCs w:val="20"/>
        </w:rPr>
        <w:t xml:space="preserve">	Mysore and Bhubaneshwar, India | Jul 2014 – Jan 2019</w:t>
      </w:r>
    </w:p>
    <w:p>
      <w:pPr>
        <w:pStyle w:val="ListParagraph"/>
        <w:numPr>
          <w:ilvl w:val="0"/>
          <w:numId w:val="2"/>
        </w:numPr>
        <w:spacing w:after="38"/>
      </w:pPr>
      <w:r>
        <w:rPr>
          <w:sz w:val="21"/>
          <w:szCs w:val="21"/>
        </w:rPr>
        <w:t xml:space="preserve">Delivered full-stack web applications using MongoDB, Express.js, Node.js, and Bootstrap, supporting global client projects.</w:t>
      </w:r>
    </w:p>
    <w:p>
      <w:pPr>
        <w:pStyle w:val="ListParagraph"/>
        <w:numPr>
          <w:ilvl w:val="0"/>
          <w:numId w:val="2"/>
        </w:numPr>
        <w:spacing w:after="38"/>
      </w:pPr>
      <w:r>
        <w:rPr>
          <w:sz w:val="21"/>
          <w:szCs w:val="21"/>
        </w:rPr>
        <w:t xml:space="preserve">Developed a digital wallet prototype that was featured on internal company instructional platforms.</w:t>
      </w:r>
    </w:p>
    <w:p>
      <w:pPr>
        <w:pStyle w:val="ListParagraph"/>
        <w:numPr>
          <w:ilvl w:val="0"/>
          <w:numId w:val="2"/>
        </w:numPr>
        <w:spacing w:after="38"/>
      </w:pPr>
      <w:r>
        <w:rPr>
          <w:sz w:val="21"/>
          <w:szCs w:val="21"/>
        </w:rPr>
        <w:t xml:space="preserve">Conducted technical training on React, Angular, and Java (Infosys–Udacity nanodegree collaborations); recognized for highest training completions, with trainees selected for Mercedes-Benz, Apple, and other global projects.</w:t>
      </w:r>
    </w:p>
    <w:p>
      <w:pPr>
        <w:pStyle w:val="ListParagraph"/>
        <w:numPr>
          <w:ilvl w:val="0"/>
          <w:numId w:val="2"/>
        </w:numPr>
        <w:spacing w:after="38"/>
      </w:pPr>
      <w:r>
        <w:rPr>
          <w:sz w:val="21"/>
          <w:szCs w:val="21"/>
        </w:rPr>
        <w:t xml:space="preserve">Built responsive, accessible UI components and optimized web applications for high-traffic environments.</w:t>
      </w:r>
    </w:p>
    <w:p>
      <w:pPr>
        <w:pBdr>
          <w:bottom w:val="single" w:color="2E5395" w:sz="6" w:space="2"/>
        </w:pBdr>
        <w:spacing w:after="75" w:before="170"/>
      </w:pPr>
      <w:r>
        <w:rPr>
          <w:b/>
          <w:bCs/>
          <w:color w:val="2E5395"/>
          <w:sz w:val="23"/>
          <w:szCs w:val="23"/>
        </w:rPr>
        <w:t xml:space="preserve">CERTIFICATIONS &amp; PROFESSIONAL DEVELOPMENT</w:t>
      </w:r>
    </w:p>
    <w:p>
      <w:pPr>
        <w:pStyle w:val="ListParagraph"/>
        <w:numPr>
          <w:ilvl w:val="0"/>
          <w:numId w:val="2"/>
        </w:numPr>
        <w:spacing w:after="38"/>
      </w:pPr>
      <w:r>
        <w:rPr>
          <w:sz w:val="21"/>
          <w:szCs w:val="21"/>
        </w:rPr>
        <w:t xml:space="preserve">Professional Scrum Master I (PSM I) — Scrum.org</w:t>
      </w:r>
    </w:p>
    <w:p>
      <w:pPr>
        <w:pStyle w:val="ListParagraph"/>
        <w:numPr>
          <w:ilvl w:val="0"/>
          <w:numId w:val="2"/>
        </w:numPr>
        <w:spacing w:after="38"/>
      </w:pPr>
      <w:r>
        <w:rPr>
          <w:sz w:val="21"/>
          <w:szCs w:val="21"/>
        </w:rPr>
        <w:t xml:space="preserve">Microsoft Certified: Azure Fundamentals</w:t>
      </w:r>
    </w:p>
    <w:p>
      <w:pPr>
        <w:pStyle w:val="ListParagraph"/>
        <w:numPr>
          <w:ilvl w:val="0"/>
          <w:numId w:val="2"/>
        </w:numPr>
        <w:spacing w:after="38"/>
      </w:pPr>
      <w:r>
        <w:rPr>
          <w:sz w:val="21"/>
          <w:szCs w:val="21"/>
        </w:rPr>
        <w:t xml:space="preserve">Hands-on Approach to Artificial Intelligence — IIT Kharagpur (via TCS iON)</w:t>
      </w:r>
    </w:p>
    <w:p>
      <w:pPr>
        <w:pStyle w:val="ListParagraph"/>
        <w:numPr>
          <w:ilvl w:val="0"/>
          <w:numId w:val="2"/>
        </w:numPr>
        <w:spacing w:after="38"/>
      </w:pPr>
      <w:r>
        <w:rPr>
          <w:sz w:val="21"/>
          <w:szCs w:val="21"/>
        </w:rPr>
        <w:t xml:space="preserve">Microsoft Certified: Programming in HTML5 with CSS3 and JavaScript</w:t>
      </w:r>
    </w:p>
    <w:p>
      <w:pPr>
        <w:pStyle w:val="ListParagraph"/>
        <w:numPr>
          <w:ilvl w:val="0"/>
          <w:numId w:val="2"/>
        </w:numPr>
        <w:spacing w:after="38"/>
      </w:pPr>
      <w:r>
        <w:rPr>
          <w:sz w:val="21"/>
          <w:szCs w:val="21"/>
        </w:rPr>
        <w:t xml:space="preserve">Recipient of multiple TCS performance and excellence awards (Beyond Performance, Excellence, Service &amp; Commitment) for consistent high-impact delivery</w:t>
      </w:r>
    </w:p>
    <w:p>
      <w:pPr>
        <w:pBdr>
          <w:bottom w:val="single" w:color="2E5395" w:sz="6" w:space="2"/>
        </w:pBdr>
        <w:spacing w:after="75" w:before="170"/>
      </w:pPr>
      <w:r>
        <w:rPr>
          <w:b/>
          <w:bCs/>
          <w:color w:val="2E5395"/>
          <w:sz w:val="23"/>
          <w:szCs w:val="23"/>
        </w:rPr>
        <w:t xml:space="preserve">EDUCATION</w:t>
      </w:r>
    </w:p>
    <w:p>
      <w:pPr>
        <w:spacing w:after="40"/>
      </w:pPr>
      <w:r>
        <w:rPr>
          <w:b/>
          <w:bCs/>
          <w:sz w:val="21"/>
          <w:szCs w:val="21"/>
        </w:rPr>
        <w:t xml:space="preserve">M.Tech in Software Engineering</w:t>
      </w:r>
      <w:r>
        <w:rPr>
          <w:sz w:val="21"/>
          <w:szCs w:val="21"/>
        </w:rPr>
        <w:t xml:space="preserve"> — Birla Institute of Technology and Science (BITS), Pilani (2017 – 2019)</w:t>
      </w:r>
    </w:p>
    <w:p>
      <w:pPr>
        <w:spacing w:after="100"/>
      </w:pPr>
      <w:r>
        <w:rPr>
          <w:b/>
          <w:bCs/>
          <w:sz w:val="21"/>
          <w:szCs w:val="21"/>
        </w:rPr>
        <w:t xml:space="preserve">B.Tech in Biotechnology</w:t>
      </w:r>
      <w:r>
        <w:rPr>
          <w:sz w:val="21"/>
          <w:szCs w:val="21"/>
        </w:rPr>
        <w:t xml:space="preserve"> — Heritage Institute of Technology, Kolkata (2010 – 2014)</w:t>
      </w:r>
    </w:p>
    <w:p>
      <w:pPr>
        <w:pBdr>
          <w:bottom w:val="single" w:color="2E5395" w:sz="6" w:space="2"/>
        </w:pBdr>
        <w:spacing w:after="75" w:before="170"/>
      </w:pPr>
      <w:r>
        <w:rPr>
          <w:b/>
          <w:bCs/>
          <w:color w:val="2E5395"/>
          <w:sz w:val="23"/>
          <w:szCs w:val="23"/>
        </w:rPr>
        <w:t xml:space="preserve">ADDITIONAL INFORMATION</w:t>
      </w:r>
    </w:p>
    <w:p>
      <w:pPr>
        <w:pStyle w:val="ListParagraph"/>
        <w:numPr>
          <w:ilvl w:val="0"/>
          <w:numId w:val="2"/>
        </w:numPr>
        <w:spacing w:after="38"/>
      </w:pPr>
      <w:r>
        <w:rPr>
          <w:sz w:val="21"/>
          <w:szCs w:val="21"/>
        </w:rPr>
        <w:t xml:space="preserve">Open to relocation/remote roles across the US, Canada, UK, and Europe; valid passport, open to visa sponsorship, 1-month notice period.</w:t>
      </w:r>
    </w:p>
    <w:p>
      <w:pPr>
        <w:pStyle w:val="ListParagraph"/>
        <w:numPr>
          <w:ilvl w:val="0"/>
          <w:numId w:val="2"/>
        </w:numPr>
        <w:spacing w:after="38"/>
      </w:pPr>
      <w:r>
        <w:rPr>
          <w:sz w:val="21"/>
          <w:szCs w:val="21"/>
        </w:rPr>
        <w:t xml:space="preserve">Languages: English (Fluent), German (Basic), Hindi (Native), Punjabi &amp; Bengali (Conversational).</w:t>
      </w:r>
    </w:p>
    <w:p>
      <w:pPr>
        <w:pStyle w:val="ListParagraph"/>
        <w:numPr>
          <w:ilvl w:val="0"/>
          <w:numId w:val="2"/>
        </w:numPr>
        <w:spacing w:after="38"/>
      </w:pPr>
      <w:r>
        <w:rPr>
          <w:sz w:val="21"/>
          <w:szCs w:val="21"/>
        </w:rPr>
        <w:t xml:space="preserve">Areas of interest: technical architecture, front-end technical leadership, consulting, and techno-managerial roles bridging engineering and business delivery.</w:t>
      </w:r>
    </w:p>
    <w:sectPr>
      <w:pgSz w:w="12240" w:h="15840" w:orient="portrait"/>
      <w:pgMar w:top="460" w:right="900" w:bottom="46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uhnokruhz2lyndqry84b" Type="http://schemas.openxmlformats.org/officeDocument/2006/relationships/hyperlink" Target="https://www.linkedin.com/in/kritiarorasoftwareengineer" TargetMode="External"/><Relationship Id="rIdo39b6tmnofuyy_r2wvm7z" Type="http://schemas.openxmlformats.org/officeDocument/2006/relationships/hyperlink" Target="https://kritiarora.dev"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2026-09-13T15:09:25.915Z</dcterms:created>
  <dcterms:modified xsi:type="dcterms:W3CDTF">2026-09-13T15:09:25.925Z</dcterms:modified>
</cp:coreProperties>
</file>

<file path=docProps/custom.xml><?xml version="1.0" encoding="utf-8"?>
<Properties xmlns="http://schemas.openxmlformats.org/officeDocument/2006/custom-properties" xmlns:vt="http://schemas.openxmlformats.org/officeDocument/2006/docPropsVTypes"/>
</file>